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27"/>
        </w:tabs>
        <w:spacing w:after="0" w:before="5"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tabs>
          <w:tab w:val="left" w:leader="none" w:pos="597"/>
          <w:tab w:val="center" w:leader="none" w:pos="5400"/>
        </w:tabs>
        <w:rPr>
          <w:rFonts w:ascii="Avenir" w:cs="Avenir" w:eastAsia="Avenir" w:hAnsi="Avenir"/>
          <w:b w:val="1"/>
          <w:color w:val="000000"/>
        </w:rPr>
      </w:pPr>
      <w:r w:rsidDel="00000000" w:rsidR="00000000" w:rsidRPr="00000000">
        <w:rPr>
          <w:rFonts w:ascii="Avenir" w:cs="Avenir" w:eastAsia="Avenir" w:hAnsi="Avenir"/>
          <w:b w:val="1"/>
          <w:color w:val="000000"/>
          <w:rtl w:val="0"/>
        </w:rPr>
        <w:tab/>
      </w:r>
    </w:p>
    <w:p w:rsidR="00000000" w:rsidDel="00000000" w:rsidP="00000000" w:rsidRDefault="00000000" w:rsidRPr="00000000" w14:paraId="00000003">
      <w:pPr>
        <w:ind w:left="100" w:firstLine="0"/>
        <w:rPr>
          <w:rFonts w:ascii="Avenir" w:cs="Avenir" w:eastAsia="Avenir" w:hAnsi="Avenir"/>
          <w:b w:val="1"/>
          <w:color w:val="000000"/>
          <w:sz w:val="22"/>
          <w:szCs w:val="22"/>
        </w:rPr>
      </w:pPr>
      <w:r w:rsidDel="00000000" w:rsidR="00000000" w:rsidRPr="00000000">
        <w:rPr>
          <w:rtl w:val="0"/>
        </w:rPr>
      </w:r>
    </w:p>
    <w:p w:rsidR="00000000" w:rsidDel="00000000" w:rsidP="00000000" w:rsidRDefault="00000000" w:rsidRPr="00000000" w14:paraId="00000004">
      <w:pPr>
        <w:ind w:left="100" w:firstLine="0"/>
        <w:rPr>
          <w:rFonts w:ascii="Avenir" w:cs="Avenir" w:eastAsia="Avenir" w:hAnsi="Avenir"/>
          <w:color w:val="000000"/>
          <w:sz w:val="22"/>
          <w:szCs w:val="22"/>
        </w:rPr>
      </w:pPr>
      <w:r w:rsidDel="00000000" w:rsidR="00000000" w:rsidRPr="00000000">
        <w:rPr>
          <w:rFonts w:ascii="Avenir" w:cs="Avenir" w:eastAsia="Avenir" w:hAnsi="Avenir"/>
          <w:b w:val="1"/>
          <w:color w:val="000000"/>
          <w:sz w:val="22"/>
          <w:szCs w:val="22"/>
          <w:rtl w:val="0"/>
        </w:rPr>
        <w:t xml:space="preserve">Committee Members Present</w:t>
      </w:r>
      <w:r w:rsidDel="00000000" w:rsidR="00000000" w:rsidRPr="00000000">
        <w:rPr>
          <w:rFonts w:ascii="Avenir" w:cs="Avenir" w:eastAsia="Avenir" w:hAnsi="Avenir"/>
          <w:color w:val="000000"/>
          <w:sz w:val="22"/>
          <w:szCs w:val="22"/>
          <w:rtl w:val="0"/>
        </w:rPr>
        <w:t xml:space="preserve">: Mike Blackwelder, Tara Lynn Sullivan, Cheryl Mandle, Emily Nanny, Latoya Scott, Janet Singerman, Amber Pierce, Michael Jones,</w:t>
      </w:r>
    </w:p>
    <w:p w:rsidR="00000000" w:rsidDel="00000000" w:rsidP="00000000" w:rsidRDefault="00000000" w:rsidRPr="00000000" w14:paraId="00000005">
      <w:pPr>
        <w:ind w:left="100" w:firstLine="0"/>
        <w:rPr>
          <w:rFonts w:ascii="Avenir" w:cs="Avenir" w:eastAsia="Avenir" w:hAnsi="Avenir"/>
          <w:b w:val="1"/>
          <w:color w:val="000000"/>
          <w:sz w:val="22"/>
          <w:szCs w:val="22"/>
        </w:rPr>
      </w:pPr>
      <w:r w:rsidDel="00000000" w:rsidR="00000000" w:rsidRPr="00000000">
        <w:rPr>
          <w:rtl w:val="0"/>
        </w:rPr>
      </w:r>
    </w:p>
    <w:p w:rsidR="00000000" w:rsidDel="00000000" w:rsidP="00000000" w:rsidRDefault="00000000" w:rsidRPr="00000000" w14:paraId="00000006">
      <w:pPr>
        <w:ind w:left="100" w:firstLine="0"/>
        <w:rPr>
          <w:rFonts w:ascii="Avenir" w:cs="Avenir" w:eastAsia="Avenir" w:hAnsi="Avenir"/>
          <w:color w:val="000000"/>
          <w:sz w:val="22"/>
          <w:szCs w:val="22"/>
        </w:rPr>
      </w:pPr>
      <w:r w:rsidDel="00000000" w:rsidR="00000000" w:rsidRPr="00000000">
        <w:rPr>
          <w:rFonts w:ascii="Avenir" w:cs="Avenir" w:eastAsia="Avenir" w:hAnsi="Avenir"/>
          <w:b w:val="1"/>
          <w:color w:val="000000"/>
          <w:sz w:val="22"/>
          <w:szCs w:val="22"/>
          <w:rtl w:val="0"/>
        </w:rPr>
        <w:t xml:space="preserve">Committee Members Absent</w:t>
      </w:r>
      <w:r w:rsidDel="00000000" w:rsidR="00000000" w:rsidRPr="00000000">
        <w:rPr>
          <w:rFonts w:ascii="Avenir" w:cs="Avenir" w:eastAsia="Avenir" w:hAnsi="Avenir"/>
          <w:color w:val="000000"/>
          <w:sz w:val="22"/>
          <w:szCs w:val="22"/>
          <w:rtl w:val="0"/>
        </w:rPr>
        <w:t xml:space="preserve">: Jessica McMullen, Cathy Henderson and Annette Grier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Staff Present</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Erika Ugues, Cher Holcomb, Teressa Beam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Guests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Mary-Margaret Kantor, Kim De Leon, Bridgett Potts, Chris Law</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ind w:left="0" w:firstLine="0"/>
        <w:rPr>
          <w:rFonts w:ascii="Avenir" w:cs="Avenir" w:eastAsia="Avenir" w:hAnsi="Avenir"/>
          <w:b w:val="0"/>
          <w:color w:val="000000"/>
          <w:sz w:val="22"/>
          <w:szCs w:val="22"/>
          <w:u w:val="none"/>
        </w:rPr>
      </w:pPr>
      <w:bookmarkStart w:colFirst="0" w:colLast="0" w:name="_heading=h.gjdgxs" w:id="0"/>
      <w:bookmarkEnd w:id="0"/>
      <w:r w:rsidDel="00000000" w:rsidR="00000000" w:rsidRPr="00000000">
        <w:rPr>
          <w:rFonts w:ascii="Avenir" w:cs="Avenir" w:eastAsia="Avenir" w:hAnsi="Avenir"/>
          <w:b w:val="0"/>
          <w:color w:val="000000"/>
          <w:sz w:val="22"/>
          <w:szCs w:val="22"/>
          <w:u w:val="none"/>
          <w:rtl w:val="0"/>
        </w:rPr>
        <w:t xml:space="preserve">Teressa Beam called the meeting to order at 8:34 with a quorum met  </w:t>
      </w:r>
    </w:p>
    <w:p w:rsidR="00000000" w:rsidDel="00000000" w:rsidP="00000000" w:rsidRDefault="00000000" w:rsidRPr="00000000" w14:paraId="0000000D">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E">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Mike Blackwelder motioned to approve minutes for January 12</w:t>
      </w:r>
      <w:r w:rsidDel="00000000" w:rsidR="00000000" w:rsidRPr="00000000">
        <w:rPr>
          <w:rFonts w:ascii="Avenir" w:cs="Avenir" w:eastAsia="Avenir" w:hAnsi="Avenir"/>
          <w:sz w:val="22"/>
          <w:szCs w:val="22"/>
          <w:vertAlign w:val="superscript"/>
          <w:rtl w:val="0"/>
        </w:rPr>
        <w:t xml:space="preserve">h</w:t>
      </w:r>
      <w:r w:rsidDel="00000000" w:rsidR="00000000" w:rsidRPr="00000000">
        <w:rPr>
          <w:rFonts w:ascii="Avenir" w:cs="Avenir" w:eastAsia="Avenir" w:hAnsi="Avenir"/>
          <w:sz w:val="22"/>
          <w:szCs w:val="22"/>
          <w:rtl w:val="0"/>
        </w:rPr>
        <w:t xml:space="preserve"> meeting. Janet Singerman seconded the motion.  No opposition and all voted in favor.  </w:t>
      </w:r>
    </w:p>
    <w:p w:rsidR="00000000" w:rsidDel="00000000" w:rsidP="00000000" w:rsidRDefault="00000000" w:rsidRPr="00000000" w14:paraId="0000000F">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0">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Follow up on Site Monitoring </w:t>
      </w:r>
    </w:p>
    <w:p w:rsidR="00000000" w:rsidDel="00000000" w:rsidP="00000000" w:rsidRDefault="00000000" w:rsidRPr="00000000" w14:paraId="00000011">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2">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Current Site Data</w:t>
      </w:r>
    </w:p>
    <w:p w:rsidR="00000000" w:rsidDel="00000000" w:rsidP="00000000" w:rsidRDefault="00000000" w:rsidRPr="00000000" w14:paraId="00000013">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Current Site structure presented to NC Pre-K Committee members.  NC Pre-K located in 25 Centers, 79 classrooms.</w:t>
      </w:r>
    </w:p>
    <w:p w:rsidR="00000000" w:rsidDel="00000000" w:rsidP="00000000" w:rsidRDefault="00000000" w:rsidRPr="00000000" w14:paraId="00000014">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5">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TS Gold &amp; PAST data </w:t>
      </w:r>
    </w:p>
    <w:p w:rsidR="00000000" w:rsidDel="00000000" w:rsidP="00000000" w:rsidRDefault="00000000" w:rsidRPr="00000000" w14:paraId="00000016">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Data was presented comparing 3</w:t>
      </w:r>
      <w:r w:rsidDel="00000000" w:rsidR="00000000" w:rsidRPr="00000000">
        <w:rPr>
          <w:rFonts w:ascii="Avenir" w:cs="Avenir" w:eastAsia="Avenir" w:hAnsi="Avenir"/>
          <w:sz w:val="22"/>
          <w:szCs w:val="22"/>
          <w:vertAlign w:val="superscript"/>
          <w:rtl w:val="0"/>
        </w:rPr>
        <w:t xml:space="preserve">rd</w:t>
      </w:r>
      <w:r w:rsidDel="00000000" w:rsidR="00000000" w:rsidRPr="00000000">
        <w:rPr>
          <w:rFonts w:ascii="Avenir" w:cs="Avenir" w:eastAsia="Avenir" w:hAnsi="Avenir"/>
          <w:sz w:val="22"/>
          <w:szCs w:val="22"/>
          <w:rtl w:val="0"/>
        </w:rPr>
        <w:t xml:space="preserve"> trimester to Staggered entry</w:t>
      </w:r>
    </w:p>
    <w:p w:rsidR="00000000" w:rsidDel="00000000" w:rsidP="00000000" w:rsidRDefault="00000000" w:rsidRPr="00000000" w14:paraId="00000017">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Janet Singerman asked if there is state wide data on the progress of all children across the state</w:t>
      </w:r>
    </w:p>
    <w:p w:rsidR="00000000" w:rsidDel="00000000" w:rsidP="00000000" w:rsidRDefault="00000000" w:rsidRPr="00000000" w14:paraId="00000018">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Attendance and late entry is continuing to have an impact on assessment </w:t>
      </w:r>
    </w:p>
    <w:p w:rsidR="00000000" w:rsidDel="00000000" w:rsidP="00000000" w:rsidRDefault="00000000" w:rsidRPr="00000000" w14:paraId="00000019">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A">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Attendance</w:t>
      </w:r>
    </w:p>
    <w:p w:rsidR="00000000" w:rsidDel="00000000" w:rsidP="00000000" w:rsidRDefault="00000000" w:rsidRPr="00000000" w14:paraId="0000001B">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average attendance for the 22-23 school year was 82.76% for the CMS program. The goal is 92%.  </w:t>
      </w:r>
    </w:p>
    <w:p w:rsidR="00000000" w:rsidDel="00000000" w:rsidP="00000000" w:rsidRDefault="00000000" w:rsidRPr="00000000" w14:paraId="0000001C">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D">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Family Engagement </w:t>
      </w:r>
    </w:p>
    <w:p w:rsidR="00000000" w:rsidDel="00000000" w:rsidP="00000000" w:rsidRDefault="00000000" w:rsidRPr="00000000" w14:paraId="0000001E">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Focus is to increase in family reading.  Parent workshops offered.  Ready Rosie is another platform used to promote family engagement. 73% first trimester, 67% 2</w:t>
      </w:r>
      <w:r w:rsidDel="00000000" w:rsidR="00000000" w:rsidRPr="00000000">
        <w:rPr>
          <w:rFonts w:ascii="Avenir" w:cs="Avenir" w:eastAsia="Avenir" w:hAnsi="Avenir"/>
          <w:sz w:val="22"/>
          <w:szCs w:val="22"/>
          <w:vertAlign w:val="superscript"/>
          <w:rtl w:val="0"/>
        </w:rPr>
        <w:t xml:space="preserve">nd</w:t>
      </w:r>
      <w:r w:rsidDel="00000000" w:rsidR="00000000" w:rsidRPr="00000000">
        <w:rPr>
          <w:rFonts w:ascii="Avenir" w:cs="Avenir" w:eastAsia="Avenir" w:hAnsi="Avenir"/>
          <w:sz w:val="22"/>
          <w:szCs w:val="22"/>
          <w:rtl w:val="0"/>
        </w:rPr>
        <w:t xml:space="preserve"> trimester and 69% utilization 93%  Positive parent and child relationship modules have the largest viewing from parents. Families accessed health and well-being the most</w:t>
      </w:r>
    </w:p>
    <w:p w:rsidR="00000000" w:rsidDel="00000000" w:rsidP="00000000" w:rsidRDefault="00000000" w:rsidRPr="00000000" w14:paraId="0000001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0">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Professional Development </w:t>
      </w:r>
    </w:p>
    <w:p w:rsidR="00000000" w:rsidDel="00000000" w:rsidP="00000000" w:rsidRDefault="00000000" w:rsidRPr="00000000" w14:paraId="00000021">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Several opportunities for staff to attend PD </w:t>
      </w:r>
    </w:p>
    <w:p w:rsidR="00000000" w:rsidDel="00000000" w:rsidP="00000000" w:rsidRDefault="00000000" w:rsidRPr="00000000" w14:paraId="00000022">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3">
      <w:pPr>
        <w:rPr>
          <w:rFonts w:ascii="Avenir" w:cs="Avenir" w:eastAsia="Avenir" w:hAnsi="Avenir"/>
          <w:b w:val="1"/>
          <w:sz w:val="22"/>
          <w:szCs w:val="22"/>
          <w:u w:val="single"/>
        </w:rPr>
      </w:pPr>
      <w:r w:rsidDel="00000000" w:rsidR="00000000" w:rsidRPr="00000000">
        <w:rPr>
          <w:rFonts w:ascii="Avenir" w:cs="Avenir" w:eastAsia="Avenir" w:hAnsi="Avenir"/>
          <w:b w:val="1"/>
          <w:sz w:val="22"/>
          <w:szCs w:val="22"/>
          <w:u w:val="single"/>
          <w:rtl w:val="0"/>
        </w:rPr>
        <w:t xml:space="preserve">EC LETRS</w:t>
      </w:r>
    </w:p>
    <w:p w:rsidR="00000000" w:rsidDel="00000000" w:rsidP="00000000" w:rsidRDefault="00000000" w:rsidRPr="00000000" w14:paraId="00000024">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21 Teachers completed</w:t>
      </w:r>
    </w:p>
    <w:p w:rsidR="00000000" w:rsidDel="00000000" w:rsidP="00000000" w:rsidRDefault="00000000" w:rsidRPr="00000000" w14:paraId="00000025">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3 New Directors completed</w:t>
      </w:r>
    </w:p>
    <w:p w:rsidR="00000000" w:rsidDel="00000000" w:rsidP="00000000" w:rsidRDefault="00000000" w:rsidRPr="00000000" w14:paraId="00000026">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7">
      <w:pPr>
        <w:rPr>
          <w:rFonts w:ascii="Avenir" w:cs="Avenir" w:eastAsia="Avenir" w:hAnsi="Avenir"/>
          <w:b w:val="1"/>
          <w:sz w:val="22"/>
          <w:szCs w:val="22"/>
          <w:u w:val="single"/>
        </w:rPr>
      </w:pPr>
      <w:r w:rsidDel="00000000" w:rsidR="00000000" w:rsidRPr="00000000">
        <w:rPr>
          <w:rFonts w:ascii="Avenir" w:cs="Avenir" w:eastAsia="Avenir" w:hAnsi="Avenir"/>
          <w:b w:val="1"/>
          <w:sz w:val="22"/>
          <w:szCs w:val="22"/>
          <w:u w:val="single"/>
          <w:rtl w:val="0"/>
        </w:rPr>
        <w:t xml:space="preserve">Administrative Actions</w:t>
      </w:r>
    </w:p>
    <w:p w:rsidR="00000000" w:rsidDel="00000000" w:rsidP="00000000" w:rsidRDefault="00000000" w:rsidRPr="00000000" w14:paraId="00000028">
      <w:pPr>
        <w:rPr>
          <w:rFonts w:ascii="Avenir" w:cs="Avenir" w:eastAsia="Avenir" w:hAnsi="Avenir"/>
          <w:b w:val="1"/>
          <w:sz w:val="22"/>
          <w:szCs w:val="22"/>
          <w:u w:val="single"/>
        </w:rPr>
      </w:pPr>
      <w:r w:rsidDel="00000000" w:rsidR="00000000" w:rsidRPr="00000000">
        <w:rPr>
          <w:rFonts w:ascii="Avenir" w:cs="Avenir" w:eastAsia="Avenir" w:hAnsi="Avenir"/>
          <w:sz w:val="22"/>
          <w:szCs w:val="22"/>
          <w:rtl w:val="0"/>
        </w:rPr>
        <w:t xml:space="preserve">9 of our sites had actions. We would like for directors to contact us next year if actions are issued with the date, the action and the steps taken to correct.</w:t>
      </w:r>
      <w:r w:rsidDel="00000000" w:rsidR="00000000" w:rsidRPr="00000000">
        <w:rPr>
          <w:rtl w:val="0"/>
        </w:rPr>
      </w:r>
    </w:p>
    <w:p w:rsidR="00000000" w:rsidDel="00000000" w:rsidP="00000000" w:rsidRDefault="00000000" w:rsidRPr="00000000" w14:paraId="00000029">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A">
      <w:pPr>
        <w:rPr>
          <w:rFonts w:ascii="Avenir" w:cs="Avenir" w:eastAsia="Avenir" w:hAnsi="Avenir"/>
          <w:color w:val="000000"/>
          <w:sz w:val="22"/>
          <w:szCs w:val="22"/>
          <w:highlight w:val="white"/>
        </w:rPr>
      </w:pPr>
      <w:r w:rsidDel="00000000" w:rsidR="00000000" w:rsidRPr="00000000">
        <w:rPr>
          <w:rFonts w:ascii="Avenir" w:cs="Avenir" w:eastAsia="Avenir" w:hAnsi="Avenir"/>
          <w:b w:val="1"/>
          <w:color w:val="000000"/>
          <w:sz w:val="22"/>
          <w:szCs w:val="22"/>
          <w:highlight w:val="white"/>
          <w:rtl w:val="0"/>
        </w:rPr>
        <w:t xml:space="preserve">Budget Status:   </w:t>
      </w:r>
      <w:r w:rsidDel="00000000" w:rsidR="00000000" w:rsidRPr="00000000">
        <w:rPr>
          <w:rFonts w:ascii="Avenir" w:cs="Avenir" w:eastAsia="Avenir" w:hAnsi="Avenir"/>
          <w:color w:val="000000"/>
          <w:sz w:val="22"/>
          <w:szCs w:val="22"/>
          <w:highlight w:val="white"/>
          <w:rtl w:val="0"/>
        </w:rPr>
        <w:t xml:space="preserve">Quarterly information shared with Committee Members.  All budget lines depleted funds by June 30th.   </w:t>
      </w:r>
      <w:r w:rsidDel="00000000" w:rsidR="00000000" w:rsidRPr="00000000">
        <w:rPr>
          <w:rFonts w:ascii="Avenir" w:cs="Avenir" w:eastAsia="Avenir" w:hAnsi="Avenir"/>
          <w:b w:val="1"/>
          <w:sz w:val="22"/>
          <w:szCs w:val="22"/>
          <w:rtl w:val="0"/>
        </w:rPr>
        <w:t xml:space="preserve"> </w:t>
      </w:r>
      <w:r w:rsidDel="00000000" w:rsidR="00000000" w:rsidRPr="00000000">
        <w:rPr>
          <w:rtl w:val="0"/>
        </w:rPr>
      </w:r>
    </w:p>
    <w:p w:rsidR="00000000" w:rsidDel="00000000" w:rsidP="00000000" w:rsidRDefault="00000000" w:rsidRPr="00000000" w14:paraId="0000002B">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C">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Placements </w:t>
      </w:r>
    </w:p>
    <w:p w:rsidR="00000000" w:rsidDel="00000000" w:rsidP="00000000" w:rsidRDefault="00000000" w:rsidRPr="00000000" w14:paraId="0000002D">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Currently NC Pre-K placements are at 45%.  CMS continues to screen and place children on a weekly basis. </w:t>
      </w:r>
    </w:p>
    <w:p w:rsidR="00000000" w:rsidDel="00000000" w:rsidP="00000000" w:rsidRDefault="00000000" w:rsidRPr="00000000" w14:paraId="0000002E">
      <w:pPr>
        <w:rPr>
          <w:rFonts w:ascii="Avenir" w:cs="Avenir" w:eastAsia="Avenir" w:hAnsi="Avenir"/>
          <w:b w:val="1"/>
          <w:color w:val="000000"/>
          <w:sz w:val="22"/>
          <w:szCs w:val="22"/>
          <w:highlight w:val="white"/>
        </w:rPr>
      </w:pPr>
      <w:r w:rsidDel="00000000" w:rsidR="00000000" w:rsidRPr="00000000">
        <w:rPr>
          <w:rtl w:val="0"/>
        </w:rPr>
      </w:r>
    </w:p>
    <w:p w:rsidR="00000000" w:rsidDel="00000000" w:rsidP="00000000" w:rsidRDefault="00000000" w:rsidRPr="00000000" w14:paraId="0000002F">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30">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31">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32">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33">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Meeting Dates</w:t>
      </w:r>
    </w:p>
    <w:p w:rsidR="00000000" w:rsidDel="00000000" w:rsidP="00000000" w:rsidRDefault="00000000" w:rsidRPr="00000000" w14:paraId="00000034">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Latoya moved to approve and Emily Nanny seconded.</w:t>
      </w:r>
    </w:p>
    <w:p w:rsidR="00000000" w:rsidDel="00000000" w:rsidP="00000000" w:rsidRDefault="00000000" w:rsidRPr="00000000" w14:paraId="0000003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6">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Conflict of Interest Policy </w:t>
      </w:r>
    </w:p>
    <w:p w:rsidR="00000000" w:rsidDel="00000000" w:rsidP="00000000" w:rsidRDefault="00000000" w:rsidRPr="00000000" w14:paraId="00000037">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Janet moved to approve and Emily Nanny seconded.</w:t>
      </w:r>
    </w:p>
    <w:p w:rsidR="00000000" w:rsidDel="00000000" w:rsidP="00000000" w:rsidRDefault="00000000" w:rsidRPr="00000000" w14:paraId="00000038">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9">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A">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Assurance and Requirements </w:t>
      </w:r>
    </w:p>
    <w:p w:rsidR="00000000" w:rsidDel="00000000" w:rsidP="00000000" w:rsidRDefault="00000000" w:rsidRPr="00000000" w14:paraId="0000003B">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Janet moved to approve and Emily Nanny was the second</w:t>
      </w:r>
    </w:p>
    <w:p w:rsidR="00000000" w:rsidDel="00000000" w:rsidP="00000000" w:rsidRDefault="00000000" w:rsidRPr="00000000" w14:paraId="0000003C">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D">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Transportation and Meals</w:t>
      </w:r>
    </w:p>
    <w:p w:rsidR="00000000" w:rsidDel="00000000" w:rsidP="00000000" w:rsidRDefault="00000000" w:rsidRPr="00000000" w14:paraId="0000003E">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Janet moved to approve and Amber Pierce was the second</w:t>
      </w:r>
    </w:p>
    <w:p w:rsidR="00000000" w:rsidDel="00000000" w:rsidP="00000000" w:rsidRDefault="00000000" w:rsidRPr="00000000" w14:paraId="0000003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0">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Program Plans – can we vote all together</w:t>
      </w:r>
    </w:p>
    <w:p w:rsidR="00000000" w:rsidDel="00000000" w:rsidP="00000000" w:rsidRDefault="00000000" w:rsidRPr="00000000" w14:paraId="00000041">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Jennifer Griffith said we can vote together. In Suspension Prevention plan- there is MTSS. Janet would like to know how we are implementing are using the MTSS plan in our private sites. Janet wants to make sure the pyramid model is being used as well. Janet motioned to approve and Emily Nanny was the second.</w:t>
      </w:r>
    </w:p>
    <w:p w:rsidR="00000000" w:rsidDel="00000000" w:rsidP="00000000" w:rsidRDefault="00000000" w:rsidRPr="00000000" w14:paraId="00000042">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3">
      <w:pPr>
        <w:rPr>
          <w:rFonts w:ascii="Avenir" w:cs="Avenir" w:eastAsia="Avenir" w:hAnsi="Avenir"/>
          <w:b w:val="1"/>
          <w:sz w:val="22"/>
          <w:szCs w:val="22"/>
          <w:u w:val="single"/>
        </w:rPr>
      </w:pPr>
      <w:r w:rsidDel="00000000" w:rsidR="00000000" w:rsidRPr="00000000">
        <w:rPr>
          <w:rFonts w:ascii="Avenir" w:cs="Avenir" w:eastAsia="Avenir" w:hAnsi="Avenir"/>
          <w:b w:val="1"/>
          <w:sz w:val="22"/>
          <w:szCs w:val="22"/>
          <w:u w:val="single"/>
          <w:rtl w:val="0"/>
        </w:rPr>
        <w:t xml:space="preserve">Reallocate Slots</w:t>
      </w:r>
    </w:p>
    <w:p w:rsidR="00000000" w:rsidDel="00000000" w:rsidP="00000000" w:rsidRDefault="00000000" w:rsidRPr="00000000" w14:paraId="00000044">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Janet clarified that the slots allocated need to be moved from previously approved locations. We need to add that language to the policy. Janet Singerman moved to approve and Michael Jones was the second.</w:t>
      </w:r>
    </w:p>
    <w:p w:rsidR="00000000" w:rsidDel="00000000" w:rsidP="00000000" w:rsidRDefault="00000000" w:rsidRPr="00000000" w14:paraId="00000045">
      <w:pPr>
        <w:rPr>
          <w:rFonts w:ascii="Avenir" w:cs="Avenir" w:eastAsia="Avenir" w:hAnsi="Avenir"/>
          <w:b w:val="1"/>
          <w:color w:val="000000"/>
          <w:sz w:val="22"/>
          <w:szCs w:val="22"/>
          <w:highlight w:val="white"/>
        </w:rPr>
      </w:pPr>
      <w:r w:rsidDel="00000000" w:rsidR="00000000" w:rsidRPr="00000000">
        <w:rPr>
          <w:rtl w:val="0"/>
        </w:rPr>
      </w:r>
    </w:p>
    <w:p w:rsidR="00000000" w:rsidDel="00000000" w:rsidP="00000000" w:rsidRDefault="00000000" w:rsidRPr="00000000" w14:paraId="00000046">
      <w:pPr>
        <w:rPr>
          <w:rFonts w:ascii="Avenir" w:cs="Avenir" w:eastAsia="Avenir" w:hAnsi="Avenir"/>
          <w:b w:val="1"/>
          <w:color w:val="000000"/>
          <w:sz w:val="22"/>
          <w:szCs w:val="22"/>
          <w:highlight w:val="white"/>
          <w:u w:val="single"/>
        </w:rPr>
      </w:pPr>
      <w:r w:rsidDel="00000000" w:rsidR="00000000" w:rsidRPr="00000000">
        <w:rPr>
          <w:rFonts w:ascii="Avenir" w:cs="Avenir" w:eastAsia="Avenir" w:hAnsi="Avenir"/>
          <w:b w:val="1"/>
          <w:color w:val="000000"/>
          <w:sz w:val="22"/>
          <w:szCs w:val="22"/>
          <w:highlight w:val="white"/>
          <w:u w:val="single"/>
          <w:rtl w:val="0"/>
        </w:rPr>
        <w:t xml:space="preserve">NC Pre-K Program Updates</w:t>
      </w:r>
    </w:p>
    <w:p w:rsidR="00000000" w:rsidDel="00000000" w:rsidP="00000000" w:rsidRDefault="00000000" w:rsidRPr="00000000" w14:paraId="00000047">
      <w:pPr>
        <w:rPr>
          <w:rFonts w:ascii="Avenir" w:cs="Avenir" w:eastAsia="Avenir" w:hAnsi="Avenir"/>
          <w:color w:val="000000"/>
          <w:sz w:val="22"/>
          <w:szCs w:val="22"/>
          <w:highlight w:val="white"/>
        </w:rPr>
      </w:pPr>
      <w:r w:rsidDel="00000000" w:rsidR="00000000" w:rsidRPr="00000000">
        <w:rPr>
          <w:rFonts w:ascii="Avenir" w:cs="Avenir" w:eastAsia="Avenir" w:hAnsi="Avenir"/>
          <w:color w:val="000000"/>
          <w:sz w:val="22"/>
          <w:szCs w:val="22"/>
          <w:highlight w:val="white"/>
          <w:rtl w:val="0"/>
        </w:rPr>
        <w:t xml:space="preserve">Moved some items from additional guidance. When referencing the guidance, please make sure you are using the additional guidance. MCV children will not be counted absent against reimbursement rates. The reimbursement rates have been revised. Categorical eligibility is now in the program. Site can keep a long term sub in the classroom for the year and get reimbursed. Interim Director can also stay in the position for the school year. Supplemental pay has now been moved into the reimbursement rate for the center. Sites will not receive the $244 per teacher bonus. </w:t>
      </w:r>
    </w:p>
    <w:p w:rsidR="00000000" w:rsidDel="00000000" w:rsidP="00000000" w:rsidRDefault="00000000" w:rsidRPr="00000000" w14:paraId="00000048">
      <w:pPr>
        <w:rPr>
          <w:rFonts w:ascii="Avenir" w:cs="Avenir" w:eastAsia="Avenir" w:hAnsi="Avenir"/>
          <w:color w:val="000000"/>
          <w:sz w:val="22"/>
          <w:szCs w:val="22"/>
          <w:highlight w:val="white"/>
        </w:rPr>
      </w:pPr>
      <w:r w:rsidDel="00000000" w:rsidR="00000000" w:rsidRPr="00000000">
        <w:rPr>
          <w:rFonts w:ascii="Avenir" w:cs="Avenir" w:eastAsia="Avenir" w:hAnsi="Avenir"/>
          <w:color w:val="000000"/>
          <w:sz w:val="22"/>
          <w:szCs w:val="22"/>
          <w:highlight w:val="white"/>
          <w:rtl w:val="0"/>
        </w:rPr>
        <w:t xml:space="preserve"> </w:t>
      </w:r>
    </w:p>
    <w:p w:rsidR="00000000" w:rsidDel="00000000" w:rsidP="00000000" w:rsidRDefault="00000000" w:rsidRPr="00000000" w14:paraId="00000049">
      <w:pPr>
        <w:rPr>
          <w:rFonts w:ascii="Avenir" w:cs="Avenir" w:eastAsia="Avenir" w:hAnsi="Avenir"/>
          <w:b w:val="1"/>
          <w:color w:val="000000"/>
          <w:sz w:val="22"/>
          <w:szCs w:val="22"/>
          <w:highlight w:val="white"/>
        </w:rPr>
      </w:pPr>
      <w:r w:rsidDel="00000000" w:rsidR="00000000" w:rsidRPr="00000000">
        <w:rPr>
          <w:rFonts w:ascii="Avenir" w:cs="Avenir" w:eastAsia="Avenir" w:hAnsi="Avenir"/>
          <w:b w:val="1"/>
          <w:color w:val="000000"/>
          <w:sz w:val="22"/>
          <w:szCs w:val="22"/>
          <w:highlight w:val="white"/>
          <w:rtl w:val="0"/>
        </w:rPr>
        <w:t xml:space="preserve">CDC Director Update – no update</w:t>
      </w:r>
    </w:p>
    <w:p w:rsidR="00000000" w:rsidDel="00000000" w:rsidP="00000000" w:rsidRDefault="00000000" w:rsidRPr="00000000" w14:paraId="0000004A">
      <w:pPr>
        <w:rPr>
          <w:rFonts w:ascii="Avenir" w:cs="Avenir" w:eastAsia="Avenir" w:hAnsi="Avenir"/>
          <w:b w:val="1"/>
          <w:color w:val="000000"/>
          <w:sz w:val="22"/>
          <w:szCs w:val="22"/>
          <w:highlight w:val="white"/>
        </w:rPr>
      </w:pPr>
      <w:r w:rsidDel="00000000" w:rsidR="00000000" w:rsidRPr="00000000">
        <w:rPr>
          <w:rtl w:val="0"/>
        </w:rPr>
      </w:r>
    </w:p>
    <w:p w:rsidR="00000000" w:rsidDel="00000000" w:rsidP="00000000" w:rsidRDefault="00000000" w:rsidRPr="00000000" w14:paraId="0000004B">
      <w:pPr>
        <w:rPr>
          <w:rFonts w:ascii="Avenir" w:cs="Avenir" w:eastAsia="Avenir" w:hAnsi="Avenir"/>
          <w:b w:val="1"/>
          <w:color w:val="000000"/>
          <w:sz w:val="22"/>
          <w:szCs w:val="22"/>
          <w:highlight w:val="white"/>
        </w:rPr>
      </w:pPr>
      <w:r w:rsidDel="00000000" w:rsidR="00000000" w:rsidRPr="00000000">
        <w:rPr>
          <w:rFonts w:ascii="Avenir" w:cs="Avenir" w:eastAsia="Avenir" w:hAnsi="Avenir"/>
          <w:b w:val="1"/>
          <w:color w:val="000000"/>
          <w:sz w:val="22"/>
          <w:szCs w:val="22"/>
          <w:highlight w:val="white"/>
          <w:rtl w:val="0"/>
        </w:rPr>
        <w:t xml:space="preserve">Meck Pre-K </w:t>
      </w:r>
    </w:p>
    <w:p w:rsidR="00000000" w:rsidDel="00000000" w:rsidP="00000000" w:rsidRDefault="00000000" w:rsidRPr="00000000" w14:paraId="0000004C">
      <w:pPr>
        <w:rPr>
          <w:rFonts w:ascii="Avenir" w:cs="Avenir" w:eastAsia="Avenir" w:hAnsi="Avenir"/>
          <w:color w:val="000000"/>
          <w:sz w:val="22"/>
          <w:szCs w:val="22"/>
          <w:highlight w:val="white"/>
        </w:rPr>
      </w:pPr>
      <w:r w:rsidDel="00000000" w:rsidR="00000000" w:rsidRPr="00000000">
        <w:rPr>
          <w:rFonts w:ascii="Avenir" w:cs="Avenir" w:eastAsia="Avenir" w:hAnsi="Avenir"/>
          <w:color w:val="000000"/>
          <w:sz w:val="22"/>
          <w:szCs w:val="22"/>
          <w:highlight w:val="white"/>
          <w:rtl w:val="0"/>
        </w:rPr>
        <w:t xml:space="preserve">Great end of the year data as well. We have a new system in place for dual enrollment. This will eliminate August withdrawals. 105 classrooms in 47 childcare facilities. We moved out of centers where we had both programs. They are having mass screenings for two weeks.</w:t>
      </w:r>
    </w:p>
    <w:p w:rsidR="00000000" w:rsidDel="00000000" w:rsidP="00000000" w:rsidRDefault="00000000" w:rsidRPr="00000000" w14:paraId="0000004D">
      <w:pPr>
        <w:rPr>
          <w:rFonts w:ascii="Avenir" w:cs="Avenir" w:eastAsia="Avenir" w:hAnsi="Avenir"/>
          <w:color w:val="000000"/>
          <w:sz w:val="22"/>
          <w:szCs w:val="22"/>
          <w:highlight w:val="white"/>
        </w:rPr>
      </w:pPr>
      <w:r w:rsidDel="00000000" w:rsidR="00000000" w:rsidRPr="00000000">
        <w:rPr>
          <w:rtl w:val="0"/>
        </w:rPr>
      </w:r>
    </w:p>
    <w:p w:rsidR="00000000" w:rsidDel="00000000" w:rsidP="00000000" w:rsidRDefault="00000000" w:rsidRPr="00000000" w14:paraId="0000004E">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Next Steps</w:t>
      </w:r>
    </w:p>
    <w:p w:rsidR="00000000" w:rsidDel="00000000" w:rsidP="00000000" w:rsidRDefault="00000000" w:rsidRPr="00000000" w14:paraId="0000004F">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Share the MTSS updates with the committee.</w:t>
      </w:r>
    </w:p>
    <w:p w:rsidR="00000000" w:rsidDel="00000000" w:rsidP="00000000" w:rsidRDefault="00000000" w:rsidRPr="00000000" w14:paraId="00000050">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1">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2">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3">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4">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6">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7">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8">
      <w:pPr>
        <w:pStyle w:val="Heading1"/>
        <w:ind w:firstLine="100"/>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venir" w:cs="Avenir" w:eastAsia="Avenir" w:hAnsi="Avenir"/>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spacing w:before="5" w:lineRule="auto"/>
        <w:rPr>
          <w:rFonts w:ascii="Avenir" w:cs="Avenir" w:eastAsia="Avenir" w:hAnsi="Avenir"/>
          <w:color w:val="ff0000"/>
          <w:sz w:val="20"/>
          <w:szCs w:val="20"/>
        </w:rPr>
      </w:pPr>
      <w:r w:rsidDel="00000000" w:rsidR="00000000" w:rsidRPr="00000000">
        <w:rPr>
          <w:rtl w:val="0"/>
        </w:rPr>
      </w:r>
    </w:p>
    <w:p w:rsidR="00000000" w:rsidDel="00000000" w:rsidP="00000000" w:rsidRDefault="00000000" w:rsidRPr="00000000" w14:paraId="0000005B">
      <w:pPr>
        <w:spacing w:before="5" w:lineRule="auto"/>
        <w:rPr>
          <w:rFonts w:ascii="Avenir" w:cs="Avenir" w:eastAsia="Avenir" w:hAnsi="Avenir"/>
          <w:color w:val="ff0000"/>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ill Sans">
    <w:embedRegular w:fontKey="{00000000-0000-0000-0000-000000000000}" r:id="rId1" w:subsetted="0"/>
    <w:embedBold w:fontKey="{00000000-0000-0000-0000-000000000000}" r:id="rId2"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3425826</wp:posOffset>
              </wp:positionH>
              <wp:positionV relativeFrom="page">
                <wp:posOffset>625476</wp:posOffset>
              </wp:positionV>
              <wp:extent cx="965200" cy="285750"/>
              <wp:effectExtent b="0" l="0" r="0" t="0"/>
              <wp:wrapNone/>
              <wp:docPr id="3" name=""/>
              <a:graphic>
                <a:graphicData uri="http://schemas.microsoft.com/office/word/2010/wordprocessingShape">
                  <wps:wsp>
                    <wps:cNvSpPr/>
                    <wps:cNvPr id="2" name="Shape 2"/>
                    <wps:spPr>
                      <a:xfrm>
                        <a:off x="4872925" y="3646650"/>
                        <a:ext cx="946150" cy="266700"/>
                      </a:xfrm>
                      <a:prstGeom prst="rect">
                        <a:avLst/>
                      </a:prstGeom>
                      <a:noFill/>
                      <a:ln>
                        <a:noFill/>
                      </a:ln>
                    </wps:spPr>
                    <wps:txbx>
                      <w:txbxContent>
                        <w:p w:rsidR="00000000" w:rsidDel="00000000" w:rsidP="00000000" w:rsidRDefault="00000000" w:rsidRPr="00000000">
                          <w:pPr>
                            <w:spacing w:after="0" w:before="0" w:line="290.9999942779541"/>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7/13/23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3425826</wp:posOffset>
              </wp:positionH>
              <wp:positionV relativeFrom="page">
                <wp:posOffset>625476</wp:posOffset>
              </wp:positionV>
              <wp:extent cx="965200" cy="28575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65200" cy="28575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2625726</wp:posOffset>
              </wp:positionH>
              <wp:positionV relativeFrom="page">
                <wp:posOffset>290831</wp:posOffset>
              </wp:positionV>
              <wp:extent cx="2431415" cy="222250"/>
              <wp:effectExtent b="0" l="0" r="0" t="0"/>
              <wp:wrapNone/>
              <wp:docPr id="4" name=""/>
              <a:graphic>
                <a:graphicData uri="http://schemas.microsoft.com/office/word/2010/wordprocessingShape">
                  <wps:wsp>
                    <wps:cNvSpPr/>
                    <wps:cNvPr id="3" name="Shape 3"/>
                    <wps:spPr>
                      <a:xfrm>
                        <a:off x="4139818" y="3678400"/>
                        <a:ext cx="2412365" cy="203200"/>
                      </a:xfrm>
                      <a:prstGeom prst="rect">
                        <a:avLst/>
                      </a:prstGeom>
                      <a:noFill/>
                      <a:ln>
                        <a:noFill/>
                      </a:ln>
                    </wps:spPr>
                    <wps:txbx>
                      <w:txbxContent>
                        <w:p w:rsidR="00000000" w:rsidDel="00000000" w:rsidP="00000000" w:rsidRDefault="00000000" w:rsidRPr="00000000">
                          <w:pPr>
                            <w:spacing w:after="0" w:before="0" w:line="290.9999942779541"/>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NC Pre-K Committee Minutes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2625726</wp:posOffset>
              </wp:positionH>
              <wp:positionV relativeFrom="page">
                <wp:posOffset>290831</wp:posOffset>
              </wp:positionV>
              <wp:extent cx="2431415" cy="222250"/>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431415" cy="22225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00"/>
    </w:pPr>
    <w:rPr>
      <w:rFonts w:ascii="Arial" w:cs="Arial" w:eastAsia="Arial" w:hAnsi="Arial"/>
      <w:b w:val="1"/>
      <w:u w:val="single"/>
    </w:rPr>
  </w:style>
  <w:style w:type="paragraph" w:styleId="Heading2">
    <w:name w:val="heading 2"/>
    <w:basedOn w:val="Normal"/>
    <w:next w:val="Normal"/>
    <w:pPr>
      <w:widowControl w:val="0"/>
      <w:ind w:left="380" w:hanging="281"/>
    </w:pPr>
    <w:rPr>
      <w:rFonts w:ascii="Gill Sans" w:cs="Gill Sans" w:eastAsia="Gill Sans" w:hAnsi="Gill Sans"/>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00"/>
    </w:pPr>
    <w:rPr>
      <w:rFonts w:ascii="Arial" w:cs="Arial" w:eastAsia="Arial" w:hAnsi="Arial"/>
      <w:b w:val="1"/>
      <w:u w:val="single"/>
    </w:rPr>
  </w:style>
  <w:style w:type="paragraph" w:styleId="Heading2">
    <w:name w:val="heading 2"/>
    <w:basedOn w:val="Normal"/>
    <w:next w:val="Normal"/>
    <w:pPr>
      <w:widowControl w:val="0"/>
      <w:ind w:left="380" w:hanging="281"/>
    </w:pPr>
    <w:rPr>
      <w:rFonts w:ascii="Gill Sans" w:cs="Gill Sans" w:eastAsia="Gill Sans" w:hAnsi="Gill Sans"/>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PMl8zswNibdQZJ2qjU9NNgurng==">CgMxLjAyCGguZ2pkZ3hzOAByITE2QkNkM211YWpzcG9fZlI0QUZPTDBUdnQtaWlUdmJSYg==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